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2C931" w14:textId="3B863A4E" w:rsidR="00642E57" w:rsidRPr="00F4045D" w:rsidRDefault="00642E57" w:rsidP="00F4045D">
      <w:pPr>
        <w:pStyle w:val="Listenabsatz"/>
        <w:numPr>
          <w:ilvl w:val="0"/>
          <w:numId w:val="20"/>
        </w:numPr>
        <w:spacing w:after="120"/>
        <w:rPr>
          <w:rFonts w:cstheme="minorHAnsi"/>
          <w:b/>
        </w:rPr>
      </w:pPr>
      <w:r w:rsidRPr="00F4045D">
        <w:rPr>
          <w:rFonts w:cstheme="minorHAnsi"/>
          <w:b/>
        </w:rPr>
        <w:t>Technisch-organisatorische Maßnahmen de</w:t>
      </w:r>
      <w:r w:rsidR="00785C8C" w:rsidRPr="00F4045D">
        <w:rPr>
          <w:rFonts w:cstheme="minorHAnsi"/>
          <w:b/>
        </w:rPr>
        <w:t xml:space="preserve">s </w:t>
      </w:r>
      <w:bookmarkStart w:id="0" w:name="_GoBack"/>
      <w:bookmarkEnd w:id="0"/>
      <w:r w:rsidR="00785C8C" w:rsidRPr="00F4045D">
        <w:rPr>
          <w:rFonts w:cstheme="minorHAnsi"/>
          <w:b/>
        </w:rPr>
        <w:t>Archivinhabers</w:t>
      </w:r>
    </w:p>
    <w:p w14:paraId="3B6D3D9C" w14:textId="77777777" w:rsidR="00642E57" w:rsidRPr="00D52F58" w:rsidRDefault="00642E57" w:rsidP="00642E57">
      <w:pPr>
        <w:keepNext/>
        <w:spacing w:after="0" w:line="240" w:lineRule="auto"/>
        <w:ind w:right="765"/>
        <w:jc w:val="both"/>
        <w:outlineLvl w:val="4"/>
        <w:rPr>
          <w:rFonts w:eastAsia="Times New Roman" w:cstheme="minorHAnsi"/>
        </w:rPr>
      </w:pPr>
      <w:r w:rsidRPr="00D52F58">
        <w:rPr>
          <w:rFonts w:eastAsia="Times New Roman" w:cstheme="minorHAnsi"/>
        </w:rPr>
        <w:t>Dokumentation der nach 32 DSGVO zu treffenden technischen und organisatorischen Maßnahmen</w:t>
      </w:r>
      <w:r w:rsidRPr="00D52F58">
        <w:rPr>
          <w:rFonts w:eastAsia="Times New Roman" w:cstheme="minorHAnsi"/>
          <w:vertAlign w:val="superscript"/>
        </w:rPr>
        <w:footnoteReference w:id="1"/>
      </w:r>
      <w:r w:rsidRPr="00D52F58">
        <w:rPr>
          <w:rFonts w:eastAsia="Times New Roman" w:cstheme="minorHAnsi"/>
        </w:rPr>
        <w:t xml:space="preserve">. </w:t>
      </w:r>
    </w:p>
    <w:p w14:paraId="68E15738" w14:textId="77777777" w:rsidR="00642E57" w:rsidRPr="00D52F58" w:rsidRDefault="00642E57" w:rsidP="00642E57">
      <w:pPr>
        <w:pStyle w:val="berschrift2"/>
        <w:spacing w:before="0" w:line="240" w:lineRule="auto"/>
        <w:rPr>
          <w:rFonts w:asciiTheme="minorHAnsi" w:hAnsiTheme="minorHAnsi" w:cstheme="minorHAnsi"/>
          <w:color w:val="auto"/>
          <w:sz w:val="22"/>
          <w:szCs w:val="22"/>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2"/>
        <w:gridCol w:w="4111"/>
        <w:gridCol w:w="4446"/>
      </w:tblGrid>
      <w:tr w:rsidR="00642E57" w:rsidRPr="00D52F58" w14:paraId="73B9BFC2" w14:textId="77777777" w:rsidTr="00D42C44">
        <w:trPr>
          <w:trHeight w:val="2904"/>
        </w:trPr>
        <w:tc>
          <w:tcPr>
            <w:tcW w:w="562" w:type="dxa"/>
          </w:tcPr>
          <w:p w14:paraId="27DBFF7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1.</w:t>
            </w:r>
          </w:p>
        </w:tc>
        <w:tc>
          <w:tcPr>
            <w:tcW w:w="4111" w:type="dxa"/>
          </w:tcPr>
          <w:p w14:paraId="3DE48FA9"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Pseudonymisierung</w:t>
            </w:r>
          </w:p>
          <w:p w14:paraId="046823E9" w14:textId="3C19C519" w:rsidR="00642E57" w:rsidRPr="00D52F58" w:rsidRDefault="00642E57" w:rsidP="002E7A70">
            <w:pPr>
              <w:spacing w:after="0" w:line="240" w:lineRule="auto"/>
              <w:jc w:val="both"/>
              <w:rPr>
                <w:rFonts w:eastAsia="Times New Roman" w:cstheme="minorHAnsi"/>
                <w:lang w:eastAsia="de-DE"/>
              </w:rPr>
            </w:pPr>
            <w:r w:rsidRPr="00D52F58">
              <w:rPr>
                <w:rFonts w:eastAsia="Times New Roman" w:cstheme="minorHAnsi"/>
                <w:lang w:eastAsia="de-DE"/>
              </w:rPr>
              <w:t>Wie wird die Pseudonymisierung</w:t>
            </w:r>
            <w:r w:rsidR="00785C8C">
              <w:rPr>
                <w:rFonts w:eastAsia="Times New Roman" w:cstheme="minorHAnsi"/>
                <w:lang w:eastAsia="de-DE"/>
              </w:rPr>
              <w:t xml:space="preserve"> </w:t>
            </w:r>
            <w:r w:rsidRPr="00D52F58">
              <w:rPr>
                <w:rFonts w:eastAsia="Times New Roman" w:cstheme="minorHAnsi"/>
                <w:lang w:eastAsia="de-DE"/>
              </w:rPr>
              <w:t>der Daten gewährleistet?</w:t>
            </w:r>
          </w:p>
          <w:p w14:paraId="2A364922" w14:textId="77777777" w:rsidR="00642E57" w:rsidRPr="00D52F58" w:rsidRDefault="00642E57" w:rsidP="002E7A70">
            <w:pPr>
              <w:spacing w:after="0" w:line="240" w:lineRule="auto"/>
              <w:jc w:val="both"/>
              <w:rPr>
                <w:rFonts w:eastAsia="Times New Roman" w:cstheme="minorHAnsi"/>
                <w:color w:val="000000"/>
                <w:lang w:eastAsia="de-DE" w:bidi="mr-IN"/>
              </w:rPr>
            </w:pPr>
            <w:r w:rsidRPr="00D52F58">
              <w:rPr>
                <w:rFonts w:eastAsia="Times New Roman" w:cstheme="minorHAnsi"/>
                <w:lang w:eastAsia="de-DE"/>
              </w:rPr>
              <w:t>Pseudonymisierung ist die Verarbeitung personenbezogener Daten in der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dass die personenbezogenen Daten nicht einer identifizierten oder identifizierbaren Person zugewiesen werden.</w:t>
            </w:r>
          </w:p>
          <w:p w14:paraId="7FA06C9F" w14:textId="77777777" w:rsidR="00642E57" w:rsidRPr="00D52F58" w:rsidRDefault="00642E57" w:rsidP="002E7A70">
            <w:pPr>
              <w:widowControl w:val="0"/>
              <w:spacing w:after="0" w:line="240" w:lineRule="auto"/>
              <w:rPr>
                <w:rFonts w:eastAsia="Times New Roman" w:cstheme="minorHAnsi"/>
                <w:snapToGrid w:val="0"/>
                <w:sz w:val="18"/>
                <w:szCs w:val="18"/>
                <w:lang w:eastAsia="de-DE" w:bidi="mr-IN"/>
              </w:rPr>
            </w:pPr>
          </w:p>
        </w:tc>
        <w:tc>
          <w:tcPr>
            <w:tcW w:w="4446" w:type="dxa"/>
          </w:tcPr>
          <w:p w14:paraId="487416B5"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4045D">
              <w:rPr>
                <w:rFonts w:eastAsia="Calibri" w:cstheme="minorHAnsi"/>
                <w:snapToGrid w:val="0"/>
              </w:rPr>
            </w:r>
            <w:r w:rsidR="00F4045D">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w:t>
            </w:r>
            <w:r w:rsidRPr="00D52F58">
              <w:rPr>
                <w:rFonts w:eastAsia="Calibri" w:cstheme="minorHAnsi"/>
                <w:color w:val="000000"/>
              </w:rPr>
              <w:t xml:space="preserve">Personenbezogene Daten werden durch </w:t>
            </w:r>
          </w:p>
          <w:p w14:paraId="2897FCD7" w14:textId="77777777" w:rsidR="00642E57" w:rsidRPr="00D52F58" w:rsidRDefault="00642E57" w:rsidP="002E7A70">
            <w:pPr>
              <w:spacing w:after="0" w:line="240" w:lineRule="auto"/>
              <w:ind w:left="374" w:hanging="41"/>
              <w:contextualSpacing/>
              <w:rPr>
                <w:rFonts w:eastAsia="Calibri" w:cstheme="minorHAnsi"/>
                <w:color w:val="000000"/>
              </w:rPr>
            </w:pPr>
            <w:r w:rsidRPr="00D52F58">
              <w:rPr>
                <w:rFonts w:eastAsia="Calibri" w:cstheme="minorHAnsi"/>
                <w:color w:val="000000"/>
              </w:rPr>
              <w:t>Zufallscodes ersetzt</w:t>
            </w:r>
          </w:p>
          <w:p w14:paraId="69CB8AD6"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4045D">
              <w:rPr>
                <w:rFonts w:eastAsia="Calibri" w:cstheme="minorHAnsi"/>
                <w:snapToGrid w:val="0"/>
              </w:rPr>
            </w:r>
            <w:r w:rsidR="00F4045D">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Data </w:t>
            </w:r>
            <w:proofErr w:type="spellStart"/>
            <w:r w:rsidRPr="00D52F58">
              <w:rPr>
                <w:rFonts w:eastAsia="Calibri" w:cstheme="minorHAnsi"/>
                <w:snapToGrid w:val="0"/>
              </w:rPr>
              <w:t>Masking</w:t>
            </w:r>
            <w:proofErr w:type="spellEnd"/>
          </w:p>
          <w:p w14:paraId="409A1F90"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6C6ACA38" w14:textId="77777777" w:rsidTr="00D42C44">
        <w:trPr>
          <w:trHeight w:val="2051"/>
        </w:trPr>
        <w:tc>
          <w:tcPr>
            <w:tcW w:w="562" w:type="dxa"/>
          </w:tcPr>
          <w:p w14:paraId="37FE7D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2.</w:t>
            </w:r>
          </w:p>
        </w:tc>
        <w:tc>
          <w:tcPr>
            <w:tcW w:w="4111" w:type="dxa"/>
          </w:tcPr>
          <w:p w14:paraId="39261840"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Verschlüsselung</w:t>
            </w:r>
          </w:p>
          <w:p w14:paraId="057D20C7" w14:textId="77777777" w:rsidR="00642E57" w:rsidRPr="00D52F58" w:rsidRDefault="00642E57" w:rsidP="002E7A70">
            <w:pPr>
              <w:widowControl w:val="0"/>
              <w:spacing w:after="0" w:line="240" w:lineRule="auto"/>
              <w:jc w:val="both"/>
              <w:rPr>
                <w:rFonts w:eastAsia="Times New Roman" w:cstheme="minorHAnsi"/>
                <w:lang w:eastAsia="de-DE" w:bidi="mr-IN"/>
              </w:rPr>
            </w:pPr>
            <w:r w:rsidRPr="00D52F58">
              <w:rPr>
                <w:rFonts w:eastAsia="Times New Roman" w:cstheme="minorHAnsi"/>
                <w:lang w:eastAsia="de-DE" w:bidi="mr-IN"/>
              </w:rPr>
              <w:t>Wie wird die Verschlüsselung gewährleistet?</w:t>
            </w:r>
          </w:p>
          <w:p w14:paraId="2C5F1762" w14:textId="77777777"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lang w:eastAsia="de-DE" w:bidi="mr-IN"/>
              </w:rPr>
              <w:t>Die Verschlüsselung transformiert einen Klartext in Abhängigkeit von einer Zusatzinformation, die "Schlüssel" genannt wird, in einen zugehörigen Geheimtext (Chiffrat), der für diejenigen, die den Schlüssel nicht kennen, nicht entzifferbar sein soll.</w:t>
            </w:r>
          </w:p>
        </w:tc>
        <w:tc>
          <w:tcPr>
            <w:tcW w:w="4446" w:type="dxa"/>
          </w:tcPr>
          <w:p w14:paraId="5710E111"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w:t>
            </w:r>
            <w:r w:rsidRPr="00D52F58">
              <w:rPr>
                <w:rFonts w:eastAsia="Times New Roman" w:cstheme="minorHAnsi"/>
                <w:color w:val="000000"/>
                <w:lang w:eastAsia="de-DE" w:bidi="mr-IN"/>
              </w:rPr>
              <w:t>Nutzung von kryptografischen Tools</w:t>
            </w:r>
          </w:p>
          <w:p w14:paraId="3D973A8B"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Data </w:t>
            </w:r>
            <w:proofErr w:type="spellStart"/>
            <w:r w:rsidRPr="00D52F58">
              <w:rPr>
                <w:rFonts w:eastAsia="Times New Roman" w:cstheme="minorHAnsi"/>
                <w:snapToGrid w:val="0"/>
                <w:lang w:eastAsia="de-DE" w:bidi="mr-IN"/>
              </w:rPr>
              <w:t>Hashing</w:t>
            </w:r>
            <w:proofErr w:type="spellEnd"/>
            <w:r w:rsidRPr="00D52F58">
              <w:rPr>
                <w:rFonts w:eastAsia="Times New Roman" w:cstheme="minorHAnsi"/>
                <w:snapToGrid w:val="0"/>
                <w:lang w:eastAsia="de-DE" w:bidi="mr-IN"/>
              </w:rPr>
              <w:t xml:space="preserve"> </w:t>
            </w:r>
          </w:p>
          <w:p w14:paraId="6DADB984"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Verschlüsselung von Speichermedien</w:t>
            </w:r>
          </w:p>
          <w:p w14:paraId="3CB2E0AF"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Verschlüsselung der Kommunikation </w:t>
            </w:r>
          </w:p>
          <w:p w14:paraId="35626A6C"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4045D">
              <w:rPr>
                <w:rFonts w:eastAsia="Times New Roman" w:cstheme="minorHAnsi"/>
                <w:snapToGrid w:val="0"/>
                <w:lang w:eastAsia="de-DE" w:bidi="mr-IN"/>
              </w:rPr>
            </w:r>
            <w:r w:rsidR="00F4045D">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1B998AB4" w14:textId="77777777" w:rsidR="00642E57" w:rsidRPr="00D52F58" w:rsidRDefault="00642E57" w:rsidP="002E7A70">
            <w:pPr>
              <w:widowControl w:val="0"/>
              <w:spacing w:after="0" w:line="240" w:lineRule="auto"/>
              <w:rPr>
                <w:rFonts w:eastAsia="Times New Roman" w:cstheme="minorHAnsi"/>
                <w:color w:val="000000"/>
                <w:lang w:eastAsia="de-DE"/>
              </w:rPr>
            </w:pPr>
          </w:p>
        </w:tc>
      </w:tr>
      <w:tr w:rsidR="00642E57" w:rsidRPr="00D52F58" w14:paraId="70CB3E91" w14:textId="77777777" w:rsidTr="00D42C44">
        <w:trPr>
          <w:trHeight w:val="1973"/>
        </w:trPr>
        <w:tc>
          <w:tcPr>
            <w:tcW w:w="562" w:type="dxa"/>
          </w:tcPr>
          <w:p w14:paraId="57DCB456"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3.</w:t>
            </w:r>
          </w:p>
        </w:tc>
        <w:tc>
          <w:tcPr>
            <w:tcW w:w="4111" w:type="dxa"/>
          </w:tcPr>
          <w:p w14:paraId="48FF39F5"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Vertraulichkeit</w:t>
            </w:r>
          </w:p>
          <w:p w14:paraId="025F495E"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Vertraulichkeit der Daten dauerhaft gewährleistet?</w:t>
            </w:r>
          </w:p>
          <w:p w14:paraId="1C8E5B11"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p>
          <w:p w14:paraId="1C484C55" w14:textId="77777777"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color w:val="000000"/>
                <w:lang w:eastAsia="de-DE" w:bidi="mr-IN"/>
              </w:rPr>
              <w:t xml:space="preserve">Vertraulichkeit heißt, dass personenbezogene Daten </w:t>
            </w:r>
            <w:r w:rsidRPr="00D52F58">
              <w:rPr>
                <w:rFonts w:eastAsia="Times New Roman" w:cstheme="minorHAnsi"/>
                <w:lang w:eastAsia="de-DE" w:bidi="mr-IN"/>
              </w:rPr>
              <w:t>vor unbefugter Preisgabe geschützt sind.</w:t>
            </w:r>
          </w:p>
        </w:tc>
        <w:tc>
          <w:tcPr>
            <w:tcW w:w="4446" w:type="dxa"/>
          </w:tcPr>
          <w:p w14:paraId="1CA5295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Elektronisches </w:t>
            </w:r>
            <w:r w:rsidRPr="00D52F58">
              <w:rPr>
                <w:rFonts w:eastAsia="Times New Roman" w:cstheme="minorHAnsi"/>
                <w:lang w:eastAsia="de-DE"/>
              </w:rPr>
              <w:t>Zutrittskontrollsystem</w:t>
            </w:r>
          </w:p>
          <w:p w14:paraId="07303EA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Sicherheitstüren und/oder -fenster</w:t>
            </w:r>
          </w:p>
          <w:p w14:paraId="60E1830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Gitter vor Fenstern und Türen</w:t>
            </w:r>
          </w:p>
          <w:p w14:paraId="466BCFD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Werkschutz, Pförtner</w:t>
            </w:r>
          </w:p>
          <w:p w14:paraId="311195C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Alarmanlage</w:t>
            </w:r>
          </w:p>
          <w:p w14:paraId="0AAC5E0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Videoüberwachung</w:t>
            </w:r>
          </w:p>
          <w:p w14:paraId="11A0A8E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Spezielle Schutzvorkehrungen für den Serverraum</w:t>
            </w:r>
          </w:p>
          <w:p w14:paraId="5B7CAF1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Individueller Log-In und Kennwortverfahren</w:t>
            </w:r>
          </w:p>
          <w:p w14:paraId="5956B56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Zusätzlicher Log-In für bestimmte Anwendungen</w:t>
            </w:r>
          </w:p>
          <w:p w14:paraId="6E7A811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6CB74A8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Verwaltung von Berechtigungen</w:t>
            </w:r>
          </w:p>
          <w:p w14:paraId="4EB35B4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Dokumentation von Berechtigungen</w:t>
            </w:r>
          </w:p>
          <w:p w14:paraId="51C1E08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15D063A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 xml:space="preserve">Verschlüsselung der Kommunikation </w:t>
            </w:r>
          </w:p>
          <w:p w14:paraId="768CD79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Datenträgern</w:t>
            </w:r>
          </w:p>
          <w:p w14:paraId="14386DD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VPN (Virtual Private Network)</w:t>
            </w:r>
          </w:p>
          <w:p w14:paraId="53DB8A3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Gesichertes WLAN</w:t>
            </w:r>
          </w:p>
          <w:p w14:paraId="2852D63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SSL-Verschlüsselung bei Web-Access</w:t>
            </w:r>
          </w:p>
          <w:p w14:paraId="0CF01110"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32EFEDEF" w14:textId="77777777" w:rsidTr="00D42C44">
        <w:trPr>
          <w:trHeight w:val="2520"/>
        </w:trPr>
        <w:tc>
          <w:tcPr>
            <w:tcW w:w="562" w:type="dxa"/>
          </w:tcPr>
          <w:p w14:paraId="402C43E0"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4.</w:t>
            </w:r>
          </w:p>
        </w:tc>
        <w:tc>
          <w:tcPr>
            <w:tcW w:w="4111" w:type="dxa"/>
          </w:tcPr>
          <w:p w14:paraId="7D34C44F"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Integrität</w:t>
            </w:r>
          </w:p>
          <w:p w14:paraId="6C5C0607"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Integrität der Daten dauerhaft gewährleistet?</w:t>
            </w:r>
          </w:p>
          <w:p w14:paraId="21603A26" w14:textId="77777777" w:rsidR="00642E57" w:rsidRPr="00D52F58" w:rsidRDefault="00642E57" w:rsidP="002E7A70">
            <w:pPr>
              <w:widowControl w:val="0"/>
              <w:spacing w:after="0" w:line="240" w:lineRule="auto"/>
              <w:rPr>
                <w:rFonts w:eastAsia="Times New Roman" w:cstheme="minorHAnsi"/>
                <w:b/>
                <w:lang w:eastAsia="de-DE"/>
              </w:rPr>
            </w:pPr>
          </w:p>
          <w:p w14:paraId="03A3842C"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lang w:eastAsia="de-DE" w:bidi="mr-IN"/>
              </w:rPr>
              <w:t>Integrität bezeichnet die Sicherstellung der Korrektheit (Unversehrtheit) von Daten und der korrekten Funktionsweise von Systemen. Wenn der Begriff Integrität auf "Daten" angewendet wird, drückt er aus, dass die Daten vollständig und unverändert sind.</w:t>
            </w:r>
          </w:p>
          <w:p w14:paraId="33124096"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052CB2E3" w14:textId="48348D6C" w:rsidR="00642E57" w:rsidRPr="00D52F58" w:rsidRDefault="00642E57" w:rsidP="00716B19">
            <w:pPr>
              <w:spacing w:after="0" w:line="240" w:lineRule="auto"/>
              <w:contextualSpacing/>
              <w:rPr>
                <w:rFonts w:eastAsia="Times New Roman" w:cstheme="minorHAnsi"/>
                <w:color w:val="000000"/>
                <w:lang w:eastAsia="de-DE" w:bidi="mr-IN"/>
              </w:rPr>
            </w:pPr>
            <w:r w:rsidRPr="00D52F58">
              <w:rPr>
                <w:rFonts w:eastAsia="Calibri" w:cstheme="minorHAnsi"/>
              </w:rPr>
              <w:fldChar w:fldCharType="begin">
                <w:ffData>
                  <w:name w:val="Kontrollkästchen3"/>
                  <w:enabled/>
                  <w:calcOnExit w:val="0"/>
                  <w:checkBox>
                    <w:sizeAuto/>
                    <w:default w:val="0"/>
                    <w:checked w:val="0"/>
                  </w:checkBox>
                </w:ffData>
              </w:fldChar>
            </w:r>
            <w:r w:rsidRPr="00D52F58">
              <w:rPr>
                <w:rFonts w:eastAsia="Calibri" w:cstheme="minorHAnsi"/>
              </w:rPr>
              <w:instrText xml:space="preserve"> FORMCHECKBOX </w:instrText>
            </w:r>
            <w:r w:rsidR="00F4045D">
              <w:rPr>
                <w:rFonts w:eastAsia="Calibri" w:cstheme="minorHAnsi"/>
              </w:rPr>
            </w:r>
            <w:r w:rsidR="00F4045D">
              <w:rPr>
                <w:rFonts w:eastAsia="Calibri" w:cstheme="minorHAnsi"/>
              </w:rPr>
              <w:fldChar w:fldCharType="separate"/>
            </w:r>
            <w:r w:rsidRPr="00D52F58">
              <w:rPr>
                <w:rFonts w:eastAsia="Calibri" w:cstheme="minorHAnsi"/>
              </w:rPr>
              <w:fldChar w:fldCharType="end"/>
            </w:r>
            <w:r w:rsidRPr="00D52F58">
              <w:rPr>
                <w:rFonts w:eastAsia="Calibri" w:cstheme="minorHAnsi"/>
              </w:rPr>
              <w:t xml:space="preserve"> </w:t>
            </w:r>
            <w:r w:rsidRPr="00D52F58">
              <w:rPr>
                <w:rFonts w:eastAsia="Calibri" w:cstheme="minorHAnsi"/>
                <w:color w:val="000000"/>
              </w:rPr>
              <w:t xml:space="preserve">Maßnahmen sollten ergriffen werden, die die </w:t>
            </w:r>
            <w:r w:rsidRPr="00D52F58">
              <w:rPr>
                <w:rFonts w:eastAsia="Times New Roman" w:cstheme="minorHAnsi"/>
                <w:color w:val="000000"/>
                <w:lang w:eastAsia="de-DE" w:bidi="mr-IN"/>
              </w:rPr>
              <w:t>Beschädigung/Veränderung der geschützten Daten während der Verarbeitung oder Übertragung verhindern</w:t>
            </w:r>
          </w:p>
          <w:p w14:paraId="1ED75BF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Verwendung von Zugriffsrechten</w:t>
            </w:r>
          </w:p>
          <w:p w14:paraId="46EF369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Systemseitige Protokollierungen</w:t>
            </w:r>
          </w:p>
          <w:p w14:paraId="620D48D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Funktionelle Verantwortlichkeiten</w:t>
            </w:r>
          </w:p>
          <w:p w14:paraId="32B05D16"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75630F27" w14:textId="77777777" w:rsidTr="00D42C44">
        <w:tc>
          <w:tcPr>
            <w:tcW w:w="562" w:type="dxa"/>
          </w:tcPr>
          <w:p w14:paraId="3987B49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5.</w:t>
            </w:r>
          </w:p>
        </w:tc>
        <w:tc>
          <w:tcPr>
            <w:tcW w:w="4111" w:type="dxa"/>
          </w:tcPr>
          <w:p w14:paraId="26285C6D"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Verfügbarkeit</w:t>
            </w:r>
          </w:p>
          <w:p w14:paraId="756E8B53"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Verfügbarkeit der Daten dauerhaft gewährleistet?</w:t>
            </w:r>
          </w:p>
          <w:p w14:paraId="2CE3E52A" w14:textId="77777777" w:rsidR="00642E57" w:rsidRPr="00D52F58" w:rsidRDefault="00642E57" w:rsidP="002E7A70">
            <w:pPr>
              <w:widowControl w:val="0"/>
              <w:spacing w:after="0" w:line="240" w:lineRule="auto"/>
              <w:rPr>
                <w:rFonts w:eastAsia="Times New Roman" w:cstheme="minorHAnsi"/>
                <w:b/>
                <w:lang w:eastAsia="de-DE"/>
              </w:rPr>
            </w:pPr>
          </w:p>
          <w:p w14:paraId="3DDB5965"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lang w:eastAsia="de-DE" w:bidi="mr-IN"/>
              </w:rPr>
              <w:t>Die Verfügbarkeit von Dienstleistungen, Funktionen eines IT-Systems, IT-Anwendungen oder IT-Netzen oder auch von Informationen ist vorhanden, wenn diese von den Anwendern stets wie vorgesehen genutzt werden können.</w:t>
            </w:r>
          </w:p>
        </w:tc>
        <w:tc>
          <w:tcPr>
            <w:tcW w:w="4446" w:type="dxa"/>
          </w:tcPr>
          <w:p w14:paraId="2301491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Back-Up Verfahren</w:t>
            </w:r>
          </w:p>
          <w:p w14:paraId="035CCEB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Spiegeln von Festplatten</w:t>
            </w:r>
          </w:p>
          <w:p w14:paraId="1A723B0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Unterbrechungsfreie Stromversorgung (USV)</w:t>
            </w:r>
          </w:p>
          <w:p w14:paraId="2B4EAC58"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Virenschutz /Firewall</w:t>
            </w:r>
          </w:p>
          <w:p w14:paraId="0436860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Notfallplan</w:t>
            </w:r>
          </w:p>
          <w:p w14:paraId="3AC0C77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Klimaanlagen</w:t>
            </w:r>
          </w:p>
          <w:p w14:paraId="10B1AD14"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Brand- und Löschwasserschutz</w:t>
            </w:r>
          </w:p>
          <w:p w14:paraId="0B49814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Alarmanlage</w:t>
            </w:r>
          </w:p>
          <w:p w14:paraId="1DF05BC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Geeignete Archivierungsräumlichkeiten</w:t>
            </w:r>
          </w:p>
          <w:p w14:paraId="28FEA25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4BA789EC"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171E205C" w14:textId="77777777" w:rsidTr="00D42C44">
        <w:trPr>
          <w:trHeight w:val="2251"/>
        </w:trPr>
        <w:tc>
          <w:tcPr>
            <w:tcW w:w="562" w:type="dxa"/>
          </w:tcPr>
          <w:p w14:paraId="74494500"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6.</w:t>
            </w:r>
          </w:p>
        </w:tc>
        <w:tc>
          <w:tcPr>
            <w:tcW w:w="4111" w:type="dxa"/>
          </w:tcPr>
          <w:p w14:paraId="39E8F854"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 xml:space="preserve">Fähigkeit der Belastbarkeit </w:t>
            </w:r>
          </w:p>
          <w:p w14:paraId="398B7493" w14:textId="77777777" w:rsidR="00642E57" w:rsidRPr="00D52F58" w:rsidRDefault="00642E57" w:rsidP="002E7A70">
            <w:pPr>
              <w:widowControl w:val="0"/>
              <w:spacing w:after="0" w:line="240" w:lineRule="auto"/>
              <w:rPr>
                <w:rFonts w:eastAsia="Times New Roman" w:cstheme="minorHAnsi"/>
                <w:b/>
                <w:lang w:eastAsia="de-DE"/>
              </w:rPr>
            </w:pPr>
          </w:p>
          <w:p w14:paraId="3603FEE0"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Belastbarkeit der Daten dauerhaft gewährleistet?</w:t>
            </w:r>
          </w:p>
          <w:p w14:paraId="52559830" w14:textId="77777777" w:rsidR="00642E57" w:rsidRPr="00D52F58" w:rsidRDefault="00642E57" w:rsidP="002E7A70">
            <w:pPr>
              <w:widowControl w:val="0"/>
              <w:spacing w:after="0" w:line="240" w:lineRule="auto"/>
              <w:rPr>
                <w:rFonts w:eastAsia="Times New Roman" w:cstheme="minorHAnsi"/>
                <w:b/>
                <w:lang w:eastAsia="de-DE"/>
              </w:rPr>
            </w:pPr>
          </w:p>
          <w:p w14:paraId="38BC47D9"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Systeme sind belastbar, wenn sie so widerstandsfähig sind, dass ihre Funktionsfähigkeit selbst bei starkem Zugriff bzw. starker Auslastung gegeben ist.</w:t>
            </w:r>
          </w:p>
        </w:tc>
        <w:tc>
          <w:tcPr>
            <w:tcW w:w="4446" w:type="dxa"/>
          </w:tcPr>
          <w:p w14:paraId="2A1D2494"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Penetrationstests</w:t>
            </w:r>
          </w:p>
          <w:p w14:paraId="3B1105F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tc>
      </w:tr>
      <w:tr w:rsidR="00642E57" w:rsidRPr="00D52F58" w14:paraId="1E8588FC" w14:textId="77777777" w:rsidTr="00D42C44">
        <w:trPr>
          <w:trHeight w:val="1460"/>
        </w:trPr>
        <w:tc>
          <w:tcPr>
            <w:tcW w:w="562" w:type="dxa"/>
          </w:tcPr>
          <w:p w14:paraId="79CC1E2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7.</w:t>
            </w:r>
          </w:p>
        </w:tc>
        <w:tc>
          <w:tcPr>
            <w:tcW w:w="4111" w:type="dxa"/>
          </w:tcPr>
          <w:p w14:paraId="26AE5308"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Wiederherstellbarkeit der Verfügbarkeit und des Zugangs</w:t>
            </w:r>
          </w:p>
          <w:p w14:paraId="08B413AE" w14:textId="77777777" w:rsidR="00642E57" w:rsidRPr="00D52F58" w:rsidRDefault="00642E57" w:rsidP="002E7A70">
            <w:pPr>
              <w:widowControl w:val="0"/>
              <w:spacing w:after="0" w:line="240" w:lineRule="auto"/>
              <w:rPr>
                <w:rFonts w:eastAsia="Times New Roman" w:cstheme="minorHAnsi"/>
                <w:b/>
                <w:lang w:eastAsia="de-DE"/>
              </w:rPr>
            </w:pPr>
          </w:p>
          <w:p w14:paraId="7F63AF68"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personenbezogene Daten nach Sicherheitsvorfällen rasch wieder verfügbar und zugänglich sind?</w:t>
            </w:r>
          </w:p>
          <w:p w14:paraId="2E4D27A3"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60F65F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Back-Up Verfahren</w:t>
            </w:r>
          </w:p>
          <w:p w14:paraId="66BF349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Unterbrechungsfreie Stromversorgung (USV)</w:t>
            </w:r>
          </w:p>
          <w:p w14:paraId="5050AEC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Notfallplan</w:t>
            </w:r>
          </w:p>
          <w:p w14:paraId="424D53FE"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rPr>
              <w:fldChar w:fldCharType="begin">
                <w:ffData>
                  <w:name w:val="Kontrollkästchen3"/>
                  <w:enabled/>
                  <w:calcOnExit w:val="0"/>
                  <w:checkBox>
                    <w:sizeAuto/>
                    <w:default w:val="0"/>
                    <w:checked w:val="0"/>
                  </w:checkBox>
                </w:ffData>
              </w:fldChar>
            </w:r>
            <w:r w:rsidRPr="00D52F58">
              <w:rPr>
                <w:rFonts w:eastAsia="Calibri" w:cstheme="minorHAnsi"/>
              </w:rPr>
              <w:instrText xml:space="preserve"> FORMCHECKBOX </w:instrText>
            </w:r>
            <w:r w:rsidR="00F4045D">
              <w:rPr>
                <w:rFonts w:eastAsia="Calibri" w:cstheme="minorHAnsi"/>
              </w:rPr>
            </w:r>
            <w:r w:rsidR="00F4045D">
              <w:rPr>
                <w:rFonts w:eastAsia="Calibri" w:cstheme="minorHAnsi"/>
              </w:rPr>
              <w:fldChar w:fldCharType="separate"/>
            </w:r>
            <w:r w:rsidRPr="00D52F58">
              <w:rPr>
                <w:rFonts w:eastAsia="Calibri" w:cstheme="minorHAnsi"/>
              </w:rPr>
              <w:fldChar w:fldCharType="end"/>
            </w:r>
            <w:r w:rsidRPr="00D52F58">
              <w:rPr>
                <w:rFonts w:eastAsia="Calibri" w:cstheme="minorHAnsi"/>
              </w:rPr>
              <w:t xml:space="preserve"> Vertretungsregelungen</w:t>
            </w:r>
          </w:p>
          <w:p w14:paraId="2B9C195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198D9BA7" w14:textId="77777777" w:rsidTr="00D42C44">
        <w:trPr>
          <w:trHeight w:val="1460"/>
        </w:trPr>
        <w:tc>
          <w:tcPr>
            <w:tcW w:w="562" w:type="dxa"/>
            <w:tcBorders>
              <w:top w:val="single" w:sz="4" w:space="0" w:color="auto"/>
              <w:left w:val="single" w:sz="4" w:space="0" w:color="auto"/>
              <w:bottom w:val="single" w:sz="4" w:space="0" w:color="auto"/>
              <w:right w:val="single" w:sz="4" w:space="0" w:color="auto"/>
            </w:tcBorders>
          </w:tcPr>
          <w:p w14:paraId="03E4E5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8.</w:t>
            </w:r>
          </w:p>
        </w:tc>
        <w:tc>
          <w:tcPr>
            <w:tcW w:w="4111" w:type="dxa"/>
            <w:tcBorders>
              <w:top w:val="single" w:sz="4" w:space="0" w:color="auto"/>
              <w:left w:val="single" w:sz="4" w:space="0" w:color="auto"/>
              <w:bottom w:val="single" w:sz="4" w:space="0" w:color="auto"/>
              <w:right w:val="single" w:sz="4" w:space="0" w:color="auto"/>
            </w:tcBorders>
          </w:tcPr>
          <w:p w14:paraId="7F49AF78" w14:textId="625C5F8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Verfahren zur regelmäßigen Überprüfung</w:t>
            </w:r>
          </w:p>
          <w:p w14:paraId="48DD7CF7" w14:textId="77777777" w:rsidR="00642E57" w:rsidRPr="00D52F58" w:rsidRDefault="00642E57" w:rsidP="002E7A70">
            <w:pPr>
              <w:widowControl w:val="0"/>
              <w:spacing w:after="0" w:line="240" w:lineRule="auto"/>
              <w:rPr>
                <w:rFonts w:eastAsia="Times New Roman" w:cstheme="minorHAnsi"/>
                <w:b/>
                <w:lang w:eastAsia="de-DE"/>
              </w:rPr>
            </w:pPr>
          </w:p>
          <w:p w14:paraId="740FD8A2"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die genannten Datensicherungsmaßnahmen regelmäßig überprüft werden?</w:t>
            </w:r>
          </w:p>
        </w:tc>
        <w:tc>
          <w:tcPr>
            <w:tcW w:w="4446" w:type="dxa"/>
            <w:tcBorders>
              <w:top w:val="single" w:sz="4" w:space="0" w:color="auto"/>
              <w:left w:val="single" w:sz="4" w:space="0" w:color="auto"/>
              <w:bottom w:val="single" w:sz="4" w:space="0" w:color="auto"/>
              <w:right w:val="single" w:sz="4" w:space="0" w:color="auto"/>
            </w:tcBorders>
          </w:tcPr>
          <w:p w14:paraId="1EF6B4F1"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Es existiert eine festgelegte Prüfroutine</w:t>
            </w:r>
          </w:p>
          <w:p w14:paraId="79883F37"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Prüfberichte werden evaluiert</w:t>
            </w:r>
          </w:p>
          <w:p w14:paraId="7AEE0DA0"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Implementierung von Verbesserungsvorschlägen</w:t>
            </w:r>
          </w:p>
        </w:tc>
      </w:tr>
      <w:tr w:rsidR="00642E57" w:rsidRPr="00D52F58" w14:paraId="69D65B04" w14:textId="77777777" w:rsidTr="00D42C44">
        <w:tc>
          <w:tcPr>
            <w:tcW w:w="562" w:type="dxa"/>
          </w:tcPr>
          <w:p w14:paraId="6899182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9.</w:t>
            </w:r>
          </w:p>
        </w:tc>
        <w:tc>
          <w:tcPr>
            <w:tcW w:w="4111" w:type="dxa"/>
          </w:tcPr>
          <w:p w14:paraId="543F883F" w14:textId="77777777" w:rsidR="00642E57" w:rsidRPr="00D52F58" w:rsidRDefault="00642E57" w:rsidP="002E7A70">
            <w:pPr>
              <w:widowControl w:val="0"/>
              <w:spacing w:after="0" w:line="240" w:lineRule="auto"/>
              <w:rPr>
                <w:rFonts w:eastAsia="Times New Roman" w:cstheme="minorHAnsi"/>
                <w:sz w:val="18"/>
                <w:szCs w:val="18"/>
                <w:lang w:eastAsia="de-DE"/>
              </w:rPr>
            </w:pPr>
            <w:r w:rsidRPr="00D52F58">
              <w:rPr>
                <w:rFonts w:eastAsia="Times New Roman" w:cstheme="minorHAnsi"/>
                <w:b/>
                <w:lang w:eastAsia="de-DE"/>
              </w:rPr>
              <w:t xml:space="preserve">Unrechtmäßiger Zugang zu personenbezogenen Daten </w:t>
            </w:r>
          </w:p>
          <w:p w14:paraId="245AC60F" w14:textId="77777777" w:rsidR="00642E57" w:rsidRPr="00D52F58" w:rsidRDefault="00642E57" w:rsidP="002E7A70">
            <w:pPr>
              <w:widowControl w:val="0"/>
              <w:spacing w:after="0" w:line="240" w:lineRule="auto"/>
              <w:rPr>
                <w:rFonts w:eastAsia="Times New Roman" w:cstheme="minorHAnsi"/>
                <w:sz w:val="18"/>
                <w:szCs w:val="18"/>
                <w:lang w:eastAsia="de-DE"/>
              </w:rPr>
            </w:pPr>
          </w:p>
          <w:p w14:paraId="496CF9E0"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Wie wird verhindert, dass Datenverarbeitungssysteme von Unbefugten genutzt werden können?</w:t>
            </w:r>
          </w:p>
        </w:tc>
        <w:tc>
          <w:tcPr>
            <w:tcW w:w="4446" w:type="dxa"/>
          </w:tcPr>
          <w:p w14:paraId="74BAEAB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Individueller Log-In und Kennwortverfahren</w:t>
            </w:r>
          </w:p>
          <w:p w14:paraId="41CADD8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Zusätzlicher Log-In für bestimmte Anwendungen</w:t>
            </w:r>
          </w:p>
          <w:p w14:paraId="1EA21BE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4C1530C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Verwaltung von Berechtigungen</w:t>
            </w:r>
          </w:p>
          <w:p w14:paraId="63FE180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Dokumentation von Berechtigungen</w:t>
            </w:r>
          </w:p>
          <w:p w14:paraId="25ED233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156D61F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2054A1F8"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0417C98F" w14:textId="77777777" w:rsidTr="00D42C44">
        <w:trPr>
          <w:trHeight w:val="2163"/>
        </w:trPr>
        <w:tc>
          <w:tcPr>
            <w:tcW w:w="562" w:type="dxa"/>
          </w:tcPr>
          <w:p w14:paraId="5F6EA3E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10.</w:t>
            </w:r>
          </w:p>
        </w:tc>
        <w:tc>
          <w:tcPr>
            <w:tcW w:w="4111" w:type="dxa"/>
          </w:tcPr>
          <w:p w14:paraId="3293EEDA"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Verarbeitung personenbezogener Daten nur nach Anweisung</w:t>
            </w:r>
          </w:p>
          <w:p w14:paraId="703EF1AA" w14:textId="77777777" w:rsidR="00642E57" w:rsidRPr="00D52F58" w:rsidRDefault="00642E57" w:rsidP="002E7A70">
            <w:pPr>
              <w:widowControl w:val="0"/>
              <w:spacing w:after="0" w:line="240" w:lineRule="auto"/>
              <w:rPr>
                <w:rFonts w:eastAsia="Times New Roman" w:cstheme="minorHAnsi"/>
                <w:b/>
                <w:lang w:eastAsia="de-DE"/>
              </w:rPr>
            </w:pPr>
          </w:p>
          <w:p w14:paraId="39CA0A1C"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szCs w:val="18"/>
                <w:lang w:eastAsia="de-DE"/>
              </w:rPr>
              <w:t>Wie wird gewährleistet, dass personenbezogene Daten nur entsprechend den Weisungen des Verantwortlichen verarbeitet werden?</w:t>
            </w:r>
          </w:p>
        </w:tc>
        <w:tc>
          <w:tcPr>
            <w:tcW w:w="4446" w:type="dxa"/>
          </w:tcPr>
          <w:p w14:paraId="16F297AF"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Mitarbeiter sind zu Verhaltensregeln verpflichtet</w:t>
            </w:r>
          </w:p>
          <w:p w14:paraId="73B1E14C"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Implementierung unternehmensinterner Datenschutz-Richtlinien</w:t>
            </w:r>
          </w:p>
          <w:p w14:paraId="0A1D20D1"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Verpflichtung der Mitarbeiter auf das Datengeheimnis</w:t>
            </w:r>
          </w:p>
          <w:p w14:paraId="1A809D50"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Schulungen aller zugriffsberechtigten Mitarbeiter</w:t>
            </w:r>
          </w:p>
          <w:p w14:paraId="531FC00E"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4045D">
              <w:rPr>
                <w:rFonts w:eastAsia="Times New Roman" w:cstheme="minorHAnsi"/>
                <w:lang w:eastAsia="de-DE" w:bidi="mr-IN"/>
              </w:rPr>
            </w:r>
            <w:r w:rsidR="00F4045D">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Bestimmung von Ansprechpartnern und verantwortlichen Projektmanagern für den konkreten Auftrag</w:t>
            </w:r>
          </w:p>
        </w:tc>
      </w:tr>
    </w:tbl>
    <w:p w14:paraId="783D5539" w14:textId="2F569E1A" w:rsidR="00D34CF4" w:rsidRPr="003076F8" w:rsidRDefault="00D34CF4" w:rsidP="003076F8">
      <w:pPr>
        <w:rPr>
          <w:rFonts w:cstheme="minorHAnsi"/>
          <w:b/>
        </w:rPr>
      </w:pPr>
    </w:p>
    <w:sectPr w:rsidR="00D34CF4" w:rsidRPr="003076F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F780" w14:textId="77777777" w:rsidR="00F51EDE" w:rsidRDefault="00F51EDE" w:rsidP="00AB1247">
      <w:pPr>
        <w:spacing w:after="0" w:line="240" w:lineRule="auto"/>
      </w:pPr>
      <w:r>
        <w:separator/>
      </w:r>
    </w:p>
  </w:endnote>
  <w:endnote w:type="continuationSeparator" w:id="0">
    <w:p w14:paraId="7D02B488" w14:textId="77777777" w:rsidR="00F51EDE" w:rsidRDefault="00F51EDE" w:rsidP="00AB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78702"/>
      <w:docPartObj>
        <w:docPartGallery w:val="Page Numbers (Bottom of Page)"/>
        <w:docPartUnique/>
      </w:docPartObj>
    </w:sdtPr>
    <w:sdtEndPr>
      <w:rPr>
        <w:sz w:val="18"/>
        <w:szCs w:val="18"/>
      </w:rPr>
    </w:sdtEndPr>
    <w:sdtContent>
      <w:p w14:paraId="661B6337" w14:textId="0E96DBD7" w:rsidR="00F51EDE" w:rsidRPr="00537F2A" w:rsidRDefault="00F51EDE">
        <w:pPr>
          <w:pStyle w:val="Fuzeile"/>
          <w:jc w:val="center"/>
          <w:rPr>
            <w:sz w:val="18"/>
            <w:szCs w:val="18"/>
          </w:rPr>
        </w:pPr>
        <w:r w:rsidRPr="00537F2A">
          <w:rPr>
            <w:sz w:val="18"/>
            <w:szCs w:val="18"/>
          </w:rPr>
          <w:fldChar w:fldCharType="begin"/>
        </w:r>
        <w:r w:rsidRPr="00537F2A">
          <w:rPr>
            <w:sz w:val="18"/>
            <w:szCs w:val="18"/>
          </w:rPr>
          <w:instrText>PAGE   \* MERGEFORMAT</w:instrText>
        </w:r>
        <w:r w:rsidRPr="00537F2A">
          <w:rPr>
            <w:sz w:val="18"/>
            <w:szCs w:val="18"/>
          </w:rPr>
          <w:fldChar w:fldCharType="separate"/>
        </w:r>
        <w:r>
          <w:rPr>
            <w:noProof/>
            <w:sz w:val="18"/>
            <w:szCs w:val="18"/>
          </w:rPr>
          <w:t>16</w:t>
        </w:r>
        <w:r w:rsidRPr="00537F2A">
          <w:rPr>
            <w:sz w:val="18"/>
            <w:szCs w:val="18"/>
          </w:rPr>
          <w:fldChar w:fldCharType="end"/>
        </w:r>
      </w:p>
    </w:sdtContent>
  </w:sdt>
  <w:p w14:paraId="1BE6BBDC" w14:textId="77777777" w:rsidR="00F51EDE" w:rsidRDefault="00F51E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F7DF" w14:textId="77777777" w:rsidR="00F51EDE" w:rsidRDefault="00F51EDE" w:rsidP="00AB1247">
      <w:pPr>
        <w:spacing w:after="0" w:line="240" w:lineRule="auto"/>
      </w:pPr>
      <w:r>
        <w:separator/>
      </w:r>
    </w:p>
  </w:footnote>
  <w:footnote w:type="continuationSeparator" w:id="0">
    <w:p w14:paraId="4C5DAEFB" w14:textId="77777777" w:rsidR="00F51EDE" w:rsidRDefault="00F51EDE" w:rsidP="00AB1247">
      <w:pPr>
        <w:spacing w:after="0" w:line="240" w:lineRule="auto"/>
      </w:pPr>
      <w:r>
        <w:continuationSeparator/>
      </w:r>
    </w:p>
  </w:footnote>
  <w:footnote w:id="1">
    <w:p w14:paraId="5E88CE9F" w14:textId="77777777" w:rsidR="00F51EDE" w:rsidRPr="00C025B1" w:rsidRDefault="00F51EDE" w:rsidP="00642E57">
      <w:pPr>
        <w:pStyle w:val="Funotentext"/>
        <w:jc w:val="both"/>
        <w:rPr>
          <w:rFonts w:asciiTheme="minorHAnsi" w:hAnsiTheme="minorHAnsi" w:cstheme="minorHAnsi"/>
          <w:lang w:val="de-DE"/>
        </w:rPr>
      </w:pPr>
      <w:r>
        <w:rPr>
          <w:rStyle w:val="Funotenzeichen"/>
        </w:rPr>
        <w:footnoteRef/>
      </w:r>
      <w:r w:rsidRPr="002C390C">
        <w:rPr>
          <w:lang w:val="de-DE"/>
        </w:rPr>
        <w:t xml:space="preserve"> </w:t>
      </w:r>
      <w:r w:rsidRPr="00C025B1">
        <w:rPr>
          <w:rFonts w:asciiTheme="minorHAnsi" w:hAnsiTheme="minorHAnsi" w:cstheme="minorHAnsi"/>
          <w:sz w:val="20"/>
          <w:lang w:val="de-DE"/>
        </w:rPr>
        <w:t xml:space="preserve">Dieses Dokument dient der Erfüllung gesetzlicher Anforderungen und soll eine </w:t>
      </w:r>
      <w:r w:rsidRPr="00C025B1">
        <w:rPr>
          <w:rFonts w:asciiTheme="minorHAnsi" w:hAnsiTheme="minorHAnsi" w:cstheme="minorHAnsi"/>
          <w:b/>
          <w:sz w:val="20"/>
          <w:lang w:val="de-DE"/>
        </w:rPr>
        <w:t>allgemeine</w:t>
      </w:r>
      <w:r w:rsidRPr="00C025B1">
        <w:rPr>
          <w:rFonts w:asciiTheme="minorHAnsi" w:hAnsiTheme="minorHAnsi" w:cstheme="minorHAnsi"/>
          <w:sz w:val="20"/>
          <w:lang w:val="de-DE"/>
        </w:rPr>
        <w:t xml:space="preserve"> Beschreibung darstellen, die es ermöglicht, </w:t>
      </w:r>
      <w:r w:rsidRPr="00C025B1">
        <w:rPr>
          <w:rFonts w:asciiTheme="minorHAnsi" w:hAnsiTheme="minorHAnsi" w:cstheme="minorHAnsi"/>
          <w:b/>
          <w:sz w:val="20"/>
          <w:lang w:val="de-DE"/>
        </w:rPr>
        <w:t>vorläufig</w:t>
      </w:r>
      <w:r w:rsidRPr="00C025B1">
        <w:rPr>
          <w:rFonts w:asciiTheme="minorHAnsi" w:hAnsiTheme="minorHAnsi" w:cstheme="minorHAnsi"/>
          <w:sz w:val="20"/>
          <w:lang w:val="de-DE"/>
        </w:rPr>
        <w:t xml:space="preserve"> zu beurteilen, ob die getroffenen Datensicherheitsmaßnahmen zu den unten angesprochenen Aspekten angemessen sind. Während der Dauer des Vertragsverhältnisses ist dieses Datensicherheitskonzept ständig an die aktuellen Gegebenheiten der Auftragsdurchführung anzupassen und zu aktualisieren. Alle Anpassungen und Änderungen in den Verfahren zur Vertragsdurchführung sind hierbei schriftlich zu dokumentieren. Das Dokument ist Bestandteil des Vertrages und dem gemeinsam Verantwortlichen bei wesentlichen Änderungen und im Übrigen jährlich vorzulegen.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23C7" w14:textId="77777777" w:rsidR="00F51EDE" w:rsidRDefault="00F51EDE" w:rsidP="00AB1247">
    <w:pPr>
      <w:pStyle w:val="Kopfzeile"/>
    </w:pPr>
    <w:r>
      <w:rPr>
        <w:noProof/>
        <w:lang w:eastAsia="de-DE"/>
      </w:rPr>
      <w:drawing>
        <wp:anchor distT="0" distB="0" distL="114300" distR="114300" simplePos="0" relativeHeight="251661312" behindDoc="0" locked="0" layoutInCell="1" allowOverlap="1" wp14:anchorId="4FC46FCC" wp14:editId="3E01D2BB">
          <wp:simplePos x="0" y="0"/>
          <wp:positionH relativeFrom="margin">
            <wp:posOffset>3948430</wp:posOffset>
          </wp:positionH>
          <wp:positionV relativeFrom="paragraph">
            <wp:posOffset>-287655</wp:posOffset>
          </wp:positionV>
          <wp:extent cx="1796415" cy="588010"/>
          <wp:effectExtent l="0" t="0" r="0" b="2540"/>
          <wp:wrapNone/>
          <wp:docPr id="1" name="Grafik 1" descr="KI_Logo_DE_Unterzeile_CMYK_S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DE_Unterzeile_CMYK_SW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58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BAE"/>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E5665"/>
    <w:multiLevelType w:val="hybridMultilevel"/>
    <w:tmpl w:val="756E59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A622D3"/>
    <w:multiLevelType w:val="hybridMultilevel"/>
    <w:tmpl w:val="69622C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03F58"/>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9B67D7"/>
    <w:multiLevelType w:val="hybridMultilevel"/>
    <w:tmpl w:val="47863638"/>
    <w:lvl w:ilvl="0" w:tplc="029C8F9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ED60D1"/>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50AC6"/>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773407"/>
    <w:multiLevelType w:val="hybridMultilevel"/>
    <w:tmpl w:val="D0AA829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686595"/>
    <w:multiLevelType w:val="hybridMultilevel"/>
    <w:tmpl w:val="846A755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81589C"/>
    <w:multiLevelType w:val="hybridMultilevel"/>
    <w:tmpl w:val="DED89B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A04927"/>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81472F"/>
    <w:multiLevelType w:val="hybridMultilevel"/>
    <w:tmpl w:val="9968B9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2668C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1B5CE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FE4ED2"/>
    <w:multiLevelType w:val="hybridMultilevel"/>
    <w:tmpl w:val="CD7A6EE2"/>
    <w:lvl w:ilvl="0" w:tplc="E8382B7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47F1755"/>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CA7E7D"/>
    <w:multiLevelType w:val="hybridMultilevel"/>
    <w:tmpl w:val="97DE8C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B34F4"/>
    <w:multiLevelType w:val="hybridMultilevel"/>
    <w:tmpl w:val="12D038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B46947"/>
    <w:multiLevelType w:val="hybridMultilevel"/>
    <w:tmpl w:val="F3EC62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2001B8"/>
    <w:multiLevelType w:val="hybridMultilevel"/>
    <w:tmpl w:val="C0C49D28"/>
    <w:lvl w:ilvl="0" w:tplc="BAEA412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16"/>
  </w:num>
  <w:num w:numId="6">
    <w:abstractNumId w:val="6"/>
  </w:num>
  <w:num w:numId="7">
    <w:abstractNumId w:val="8"/>
  </w:num>
  <w:num w:numId="8">
    <w:abstractNumId w:val="15"/>
  </w:num>
  <w:num w:numId="9">
    <w:abstractNumId w:val="2"/>
  </w:num>
  <w:num w:numId="10">
    <w:abstractNumId w:val="13"/>
  </w:num>
  <w:num w:numId="11">
    <w:abstractNumId w:val="12"/>
  </w:num>
  <w:num w:numId="12">
    <w:abstractNumId w:val="11"/>
  </w:num>
  <w:num w:numId="13">
    <w:abstractNumId w:val="9"/>
  </w:num>
  <w:num w:numId="14">
    <w:abstractNumId w:val="19"/>
  </w:num>
  <w:num w:numId="15">
    <w:abstractNumId w:val="14"/>
  </w:num>
  <w:num w:numId="16">
    <w:abstractNumId w:val="4"/>
  </w:num>
  <w:num w:numId="17">
    <w:abstractNumId w:val="18"/>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E8"/>
    <w:rsid w:val="00044149"/>
    <w:rsid w:val="0005105D"/>
    <w:rsid w:val="000A7C2D"/>
    <w:rsid w:val="000B07FE"/>
    <w:rsid w:val="000B32F5"/>
    <w:rsid w:val="000B332F"/>
    <w:rsid w:val="000C3B71"/>
    <w:rsid w:val="00105165"/>
    <w:rsid w:val="001157FD"/>
    <w:rsid w:val="00143120"/>
    <w:rsid w:val="00162BFE"/>
    <w:rsid w:val="001639E7"/>
    <w:rsid w:val="001818DB"/>
    <w:rsid w:val="001B1D15"/>
    <w:rsid w:val="001E18BB"/>
    <w:rsid w:val="00217588"/>
    <w:rsid w:val="00217AD2"/>
    <w:rsid w:val="0022707B"/>
    <w:rsid w:val="0023159D"/>
    <w:rsid w:val="00241A34"/>
    <w:rsid w:val="00283CE9"/>
    <w:rsid w:val="002B1422"/>
    <w:rsid w:val="002C5702"/>
    <w:rsid w:val="002E7A70"/>
    <w:rsid w:val="003076F8"/>
    <w:rsid w:val="003202A4"/>
    <w:rsid w:val="00340103"/>
    <w:rsid w:val="00351A51"/>
    <w:rsid w:val="00370622"/>
    <w:rsid w:val="00374581"/>
    <w:rsid w:val="003923D3"/>
    <w:rsid w:val="003A05BC"/>
    <w:rsid w:val="003A10A6"/>
    <w:rsid w:val="003A399F"/>
    <w:rsid w:val="003D3629"/>
    <w:rsid w:val="003F6B81"/>
    <w:rsid w:val="00453581"/>
    <w:rsid w:val="00490F84"/>
    <w:rsid w:val="004D339B"/>
    <w:rsid w:val="004D3996"/>
    <w:rsid w:val="004D4BB3"/>
    <w:rsid w:val="005108BC"/>
    <w:rsid w:val="00537F2A"/>
    <w:rsid w:val="00546E4D"/>
    <w:rsid w:val="00565BEE"/>
    <w:rsid w:val="005733DD"/>
    <w:rsid w:val="005822CA"/>
    <w:rsid w:val="0058317D"/>
    <w:rsid w:val="0058423A"/>
    <w:rsid w:val="005A49F4"/>
    <w:rsid w:val="005A73D9"/>
    <w:rsid w:val="005B44B0"/>
    <w:rsid w:val="005D0DE8"/>
    <w:rsid w:val="005D231E"/>
    <w:rsid w:val="005D5C73"/>
    <w:rsid w:val="005E1C53"/>
    <w:rsid w:val="00604A2C"/>
    <w:rsid w:val="0061453E"/>
    <w:rsid w:val="00620DBC"/>
    <w:rsid w:val="00625548"/>
    <w:rsid w:val="00642E57"/>
    <w:rsid w:val="00657541"/>
    <w:rsid w:val="006A2C07"/>
    <w:rsid w:val="006A426B"/>
    <w:rsid w:val="006A50A3"/>
    <w:rsid w:val="006B61E5"/>
    <w:rsid w:val="006D4EAE"/>
    <w:rsid w:val="006D76B3"/>
    <w:rsid w:val="006F26EA"/>
    <w:rsid w:val="006F2ABB"/>
    <w:rsid w:val="00716B19"/>
    <w:rsid w:val="007674CE"/>
    <w:rsid w:val="00785C8C"/>
    <w:rsid w:val="007A1769"/>
    <w:rsid w:val="007A58CC"/>
    <w:rsid w:val="007B7709"/>
    <w:rsid w:val="007D197C"/>
    <w:rsid w:val="007D50B7"/>
    <w:rsid w:val="0080272D"/>
    <w:rsid w:val="00822467"/>
    <w:rsid w:val="00824B0D"/>
    <w:rsid w:val="008866B3"/>
    <w:rsid w:val="008E5192"/>
    <w:rsid w:val="008E6F1A"/>
    <w:rsid w:val="00900F5C"/>
    <w:rsid w:val="00913658"/>
    <w:rsid w:val="00915B2C"/>
    <w:rsid w:val="00950386"/>
    <w:rsid w:val="00954631"/>
    <w:rsid w:val="00984107"/>
    <w:rsid w:val="00986023"/>
    <w:rsid w:val="009955D4"/>
    <w:rsid w:val="009D002B"/>
    <w:rsid w:val="009D1BF7"/>
    <w:rsid w:val="009E515F"/>
    <w:rsid w:val="009F3FCC"/>
    <w:rsid w:val="00A17DE0"/>
    <w:rsid w:val="00A475DC"/>
    <w:rsid w:val="00A51F81"/>
    <w:rsid w:val="00A64265"/>
    <w:rsid w:val="00A76251"/>
    <w:rsid w:val="00A87C7D"/>
    <w:rsid w:val="00AA1692"/>
    <w:rsid w:val="00AA2F8D"/>
    <w:rsid w:val="00AB1247"/>
    <w:rsid w:val="00AB61FA"/>
    <w:rsid w:val="00AC12D8"/>
    <w:rsid w:val="00B13154"/>
    <w:rsid w:val="00B24328"/>
    <w:rsid w:val="00B77C6B"/>
    <w:rsid w:val="00BB6239"/>
    <w:rsid w:val="00BE764C"/>
    <w:rsid w:val="00C83CC5"/>
    <w:rsid w:val="00C91251"/>
    <w:rsid w:val="00CA2447"/>
    <w:rsid w:val="00CA36E2"/>
    <w:rsid w:val="00CA5007"/>
    <w:rsid w:val="00CC3807"/>
    <w:rsid w:val="00CC48C2"/>
    <w:rsid w:val="00CE7396"/>
    <w:rsid w:val="00CF5809"/>
    <w:rsid w:val="00D213A0"/>
    <w:rsid w:val="00D34CF4"/>
    <w:rsid w:val="00D42C44"/>
    <w:rsid w:val="00D61897"/>
    <w:rsid w:val="00D835AB"/>
    <w:rsid w:val="00DA27A9"/>
    <w:rsid w:val="00DC3E91"/>
    <w:rsid w:val="00DC4121"/>
    <w:rsid w:val="00DD7212"/>
    <w:rsid w:val="00DE3BDC"/>
    <w:rsid w:val="00DF032C"/>
    <w:rsid w:val="00E069C3"/>
    <w:rsid w:val="00E2346E"/>
    <w:rsid w:val="00E27C7D"/>
    <w:rsid w:val="00E31438"/>
    <w:rsid w:val="00E410EF"/>
    <w:rsid w:val="00EA72AA"/>
    <w:rsid w:val="00ED6DAF"/>
    <w:rsid w:val="00EE4F3C"/>
    <w:rsid w:val="00F06025"/>
    <w:rsid w:val="00F30A47"/>
    <w:rsid w:val="00F4045D"/>
    <w:rsid w:val="00F45476"/>
    <w:rsid w:val="00F51EDE"/>
    <w:rsid w:val="00FD1406"/>
    <w:rsid w:val="00FF2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D32F45"/>
  <w15:chartTrackingRefBased/>
  <w15:docId w15:val="{6046A26C-BF8A-47A9-8354-48A5F5E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44B0"/>
  </w:style>
  <w:style w:type="paragraph" w:styleId="berschrift1">
    <w:name w:val="heading 1"/>
    <w:basedOn w:val="Standard"/>
    <w:next w:val="Standard"/>
    <w:link w:val="berschrift1Zchn"/>
    <w:uiPriority w:val="9"/>
    <w:qFormat/>
    <w:rsid w:val="00AB1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B1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DE8"/>
    <w:pPr>
      <w:ind w:left="720"/>
      <w:contextualSpacing/>
    </w:pPr>
  </w:style>
  <w:style w:type="paragraph" w:customStyle="1" w:styleId="Default">
    <w:name w:val="Default"/>
    <w:rsid w:val="0058317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B12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247"/>
  </w:style>
  <w:style w:type="paragraph" w:styleId="Fuzeile">
    <w:name w:val="footer"/>
    <w:basedOn w:val="Standard"/>
    <w:link w:val="FuzeileZchn"/>
    <w:uiPriority w:val="99"/>
    <w:unhideWhenUsed/>
    <w:rsid w:val="00AB12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247"/>
  </w:style>
  <w:style w:type="character" w:customStyle="1" w:styleId="berschrift1Zchn">
    <w:name w:val="Überschrift 1 Zchn"/>
    <w:basedOn w:val="Absatz-Standardschriftart"/>
    <w:link w:val="berschrift1"/>
    <w:uiPriority w:val="9"/>
    <w:rsid w:val="00AB124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B1247"/>
    <w:rPr>
      <w:rFonts w:asciiTheme="majorHAnsi" w:eastAsiaTheme="majorEastAsia" w:hAnsiTheme="majorHAnsi" w:cstheme="majorBidi"/>
      <w:color w:val="2E74B5" w:themeColor="accent1" w:themeShade="BF"/>
      <w:sz w:val="26"/>
      <w:szCs w:val="26"/>
    </w:rPr>
  </w:style>
  <w:style w:type="character" w:customStyle="1" w:styleId="FunotentextZchn">
    <w:name w:val="Fußnotentext Zchn"/>
    <w:link w:val="Funotentext"/>
    <w:semiHidden/>
    <w:rsid w:val="00AB1247"/>
    <w:rPr>
      <w:rFonts w:ascii="Arial" w:hAnsi="Arial" w:cs="Arial"/>
      <w:lang w:val="en-US"/>
    </w:rPr>
  </w:style>
  <w:style w:type="paragraph" w:styleId="Funotentext">
    <w:name w:val="footnote text"/>
    <w:basedOn w:val="Standard"/>
    <w:link w:val="FunotentextZchn"/>
    <w:semiHidden/>
    <w:rsid w:val="00AB1247"/>
    <w:pPr>
      <w:spacing w:after="0" w:line="240" w:lineRule="auto"/>
    </w:pPr>
    <w:rPr>
      <w:rFonts w:ascii="Arial" w:hAnsi="Arial" w:cs="Arial"/>
      <w:lang w:val="en-US"/>
    </w:rPr>
  </w:style>
  <w:style w:type="character" w:customStyle="1" w:styleId="FunotentextZchn1">
    <w:name w:val="Fußnotentext Zchn1"/>
    <w:basedOn w:val="Absatz-Standardschriftart"/>
    <w:uiPriority w:val="99"/>
    <w:semiHidden/>
    <w:rsid w:val="00AB1247"/>
    <w:rPr>
      <w:sz w:val="20"/>
      <w:szCs w:val="20"/>
    </w:rPr>
  </w:style>
  <w:style w:type="character" w:styleId="Funotenzeichen">
    <w:name w:val="footnote reference"/>
    <w:semiHidden/>
    <w:rsid w:val="00AB1247"/>
    <w:rPr>
      <w:vertAlign w:val="superscript"/>
    </w:rPr>
  </w:style>
  <w:style w:type="table" w:styleId="Tabellenraster">
    <w:name w:val="Table Grid"/>
    <w:basedOn w:val="NormaleTabelle"/>
    <w:uiPriority w:val="39"/>
    <w:rsid w:val="00D8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0510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E5192"/>
    <w:rPr>
      <w:sz w:val="16"/>
      <w:szCs w:val="16"/>
    </w:rPr>
  </w:style>
  <w:style w:type="paragraph" w:styleId="Kommentartext">
    <w:name w:val="annotation text"/>
    <w:basedOn w:val="Standard"/>
    <w:link w:val="KommentartextZchn"/>
    <w:uiPriority w:val="99"/>
    <w:unhideWhenUsed/>
    <w:rsid w:val="008E5192"/>
    <w:pPr>
      <w:spacing w:line="240" w:lineRule="auto"/>
    </w:pPr>
    <w:rPr>
      <w:sz w:val="20"/>
      <w:szCs w:val="20"/>
    </w:rPr>
  </w:style>
  <w:style w:type="character" w:customStyle="1" w:styleId="KommentartextZchn">
    <w:name w:val="Kommentartext Zchn"/>
    <w:basedOn w:val="Absatz-Standardschriftart"/>
    <w:link w:val="Kommentartext"/>
    <w:uiPriority w:val="99"/>
    <w:rsid w:val="008E5192"/>
    <w:rPr>
      <w:sz w:val="20"/>
      <w:szCs w:val="20"/>
    </w:rPr>
  </w:style>
  <w:style w:type="paragraph" w:styleId="Kommentarthema">
    <w:name w:val="annotation subject"/>
    <w:basedOn w:val="Kommentartext"/>
    <w:next w:val="Kommentartext"/>
    <w:link w:val="KommentarthemaZchn"/>
    <w:uiPriority w:val="99"/>
    <w:semiHidden/>
    <w:unhideWhenUsed/>
    <w:rsid w:val="008E5192"/>
    <w:rPr>
      <w:b/>
      <w:bCs/>
    </w:rPr>
  </w:style>
  <w:style w:type="character" w:customStyle="1" w:styleId="KommentarthemaZchn">
    <w:name w:val="Kommentarthema Zchn"/>
    <w:basedOn w:val="KommentartextZchn"/>
    <w:link w:val="Kommentarthema"/>
    <w:uiPriority w:val="99"/>
    <w:semiHidden/>
    <w:rsid w:val="008E5192"/>
    <w:rPr>
      <w:b/>
      <w:bCs/>
      <w:sz w:val="20"/>
      <w:szCs w:val="20"/>
    </w:rPr>
  </w:style>
  <w:style w:type="paragraph" w:styleId="Sprechblasentext">
    <w:name w:val="Balloon Text"/>
    <w:basedOn w:val="Standard"/>
    <w:link w:val="SprechblasentextZchn"/>
    <w:uiPriority w:val="99"/>
    <w:semiHidden/>
    <w:unhideWhenUsed/>
    <w:rsid w:val="00241A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A34"/>
    <w:rPr>
      <w:rFonts w:ascii="Segoe UI" w:hAnsi="Segoe UI" w:cs="Segoe UI"/>
      <w:sz w:val="18"/>
      <w:szCs w:val="18"/>
    </w:rPr>
  </w:style>
  <w:style w:type="character" w:styleId="Hyperlink">
    <w:name w:val="Hyperlink"/>
    <w:basedOn w:val="Absatz-Standardschriftart"/>
    <w:uiPriority w:val="99"/>
    <w:unhideWhenUsed/>
    <w:rsid w:val="005733DD"/>
    <w:rPr>
      <w:color w:val="0563C1" w:themeColor="hyperlink"/>
      <w:u w:val="single"/>
    </w:rPr>
  </w:style>
  <w:style w:type="character" w:customStyle="1" w:styleId="NichtaufgelsteErwhnung1">
    <w:name w:val="Nicht aufgelöste Erwähnung1"/>
    <w:basedOn w:val="Absatz-Standardschriftart"/>
    <w:uiPriority w:val="99"/>
    <w:semiHidden/>
    <w:unhideWhenUsed/>
    <w:rsid w:val="005733DD"/>
    <w:rPr>
      <w:color w:val="605E5C"/>
      <w:shd w:val="clear" w:color="auto" w:fill="E1DFDD"/>
    </w:rPr>
  </w:style>
  <w:style w:type="paragraph" w:styleId="berarbeitung">
    <w:name w:val="Revision"/>
    <w:hidden/>
    <w:uiPriority w:val="99"/>
    <w:semiHidden/>
    <w:rsid w:val="0095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6882">
      <w:bodyDiv w:val="1"/>
      <w:marLeft w:val="0"/>
      <w:marRight w:val="0"/>
      <w:marTop w:val="0"/>
      <w:marBottom w:val="0"/>
      <w:divBdr>
        <w:top w:val="none" w:sz="0" w:space="0" w:color="auto"/>
        <w:left w:val="none" w:sz="0" w:space="0" w:color="auto"/>
        <w:bottom w:val="none" w:sz="0" w:space="0" w:color="auto"/>
        <w:right w:val="none" w:sz="0" w:space="0" w:color="auto"/>
      </w:divBdr>
    </w:div>
    <w:div w:id="1239361211">
      <w:bodyDiv w:val="1"/>
      <w:marLeft w:val="0"/>
      <w:marRight w:val="0"/>
      <w:marTop w:val="0"/>
      <w:marBottom w:val="0"/>
      <w:divBdr>
        <w:top w:val="none" w:sz="0" w:space="0" w:color="auto"/>
        <w:left w:val="none" w:sz="0" w:space="0" w:color="auto"/>
        <w:bottom w:val="none" w:sz="0" w:space="0" w:color="auto"/>
        <w:right w:val="none" w:sz="0" w:space="0" w:color="auto"/>
      </w:divBdr>
    </w:div>
    <w:div w:id="1827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145B-33E4-4638-A5B4-5318B71C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Hellmuth</dc:creator>
  <cp:keywords/>
  <dc:description/>
  <cp:lastModifiedBy>Cord Pagenstecher</cp:lastModifiedBy>
  <cp:revision>2</cp:revision>
  <dcterms:created xsi:type="dcterms:W3CDTF">2024-06-10T14:28:00Z</dcterms:created>
  <dcterms:modified xsi:type="dcterms:W3CDTF">2024-06-10T14:28:00Z</dcterms:modified>
</cp:coreProperties>
</file>